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C889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 xml:space="preserve">Decoding the Book of </w:t>
      </w:r>
      <w:r>
        <w:rPr>
          <w:rFonts w:hint="eastAsia" w:ascii="华文中宋" w:hAnsi="华文中宋" w:eastAsia="华文中宋" w:cs="华文中宋"/>
          <w:b/>
          <w:bCs/>
          <w:i/>
          <w:iCs/>
          <w:sz w:val="28"/>
          <w:szCs w:val="28"/>
        </w:rPr>
        <w:t>Xi Jinping: The Governance of China</w:t>
      </w:r>
    </w:p>
    <w:p w14:paraId="592B72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Follow a good blueprint through to the end</w:t>
      </w:r>
    </w:p>
    <w:p w14:paraId="0EF5C40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宋体" w:hAnsi="宋体" w:eastAsia="宋体" w:cs="宋体"/>
          <w:b/>
          <w:bCs/>
          <w:sz w:val="21"/>
          <w:szCs w:val="21"/>
        </w:rPr>
      </w:pPr>
    </w:p>
    <w:p w14:paraId="5936CD5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宋体" w:hAnsi="宋体" w:eastAsia="宋体" w:cs="宋体"/>
          <w:b/>
          <w:bCs/>
          <w:i/>
          <w:iCs/>
          <w:sz w:val="21"/>
          <w:szCs w:val="21"/>
        </w:rPr>
      </w:pPr>
      <w:r>
        <w:rPr>
          <w:rFonts w:hint="eastAsia" w:ascii="宋体" w:hAnsi="宋体" w:eastAsia="宋体" w:cs="宋体"/>
          <w:b/>
          <w:bCs/>
          <w:i/>
          <w:iCs/>
          <w:sz w:val="21"/>
          <w:szCs w:val="21"/>
          <w:lang w:val="en-US" w:eastAsia="zh-CN"/>
        </w:rPr>
        <w:t>“</w:t>
      </w:r>
      <w:r>
        <w:rPr>
          <w:rFonts w:hint="eastAsia" w:ascii="宋体" w:hAnsi="宋体" w:eastAsia="宋体" w:cs="宋体"/>
          <w:b/>
          <w:bCs/>
          <w:i/>
          <w:iCs/>
          <w:sz w:val="21"/>
          <w:szCs w:val="21"/>
        </w:rPr>
        <w:t>The same is true in treating work at local and departmental levels. We have already got in our hands a good blueprint. What we should do is to follow it through to the end and make it a success.</w:t>
      </w:r>
      <w:r>
        <w:rPr>
          <w:rFonts w:hint="eastAsia" w:ascii="宋体" w:hAnsi="宋体" w:eastAsia="宋体" w:cs="宋体"/>
          <w:b/>
          <w:bCs/>
          <w:i/>
          <w:iCs/>
          <w:sz w:val="21"/>
          <w:szCs w:val="21"/>
          <w:lang w:val="en-US" w:eastAsia="zh-CN"/>
        </w:rPr>
        <w:t>”</w:t>
      </w:r>
      <w:r>
        <w:rPr>
          <w:rFonts w:hint="eastAsia" w:ascii="宋体" w:hAnsi="宋体" w:eastAsia="宋体" w:cs="宋体"/>
          <w:b/>
          <w:bCs/>
          <w:i/>
          <w:iCs/>
          <w:sz w:val="21"/>
          <w:szCs w:val="21"/>
        </w:rPr>
        <w:t xml:space="preserve"> </w:t>
      </w:r>
    </w:p>
    <w:p w14:paraId="45BEDDF0">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宋体" w:hAnsi="宋体" w:eastAsia="宋体" w:cs="宋体"/>
          <w:b/>
          <w:bCs/>
          <w:i/>
          <w:iCs/>
          <w:sz w:val="21"/>
          <w:szCs w:val="21"/>
        </w:rPr>
      </w:pPr>
      <w:r>
        <w:rPr>
          <w:rFonts w:hint="eastAsia" w:ascii="宋体" w:hAnsi="宋体" w:eastAsia="宋体" w:cs="宋体"/>
          <w:b/>
          <w:bCs/>
          <w:i/>
          <w:iCs/>
          <w:sz w:val="21"/>
          <w:szCs w:val="21"/>
          <w:lang w:eastAsia="zh-CN"/>
        </w:rPr>
        <w:t>——</w:t>
      </w:r>
      <w:r>
        <w:rPr>
          <w:rFonts w:hint="eastAsia" w:ascii="宋体" w:hAnsi="宋体" w:eastAsia="宋体" w:cs="宋体"/>
          <w:b/>
          <w:bCs/>
          <w:i/>
          <w:iCs/>
          <w:sz w:val="21"/>
          <w:szCs w:val="21"/>
        </w:rPr>
        <w:t>Xi Jinping</w:t>
      </w:r>
      <w:r>
        <w:rPr>
          <w:rFonts w:hint="eastAsia" w:ascii="宋体" w:hAnsi="宋体" w:eastAsia="宋体" w:cs="宋体"/>
          <w:b/>
          <w:bCs/>
          <w:i/>
          <w:iCs/>
          <w:sz w:val="21"/>
          <w:szCs w:val="21"/>
          <w:lang w:val="en-US" w:eastAsia="zh-CN"/>
        </w:rPr>
        <w:t xml:space="preserve">: </w:t>
      </w:r>
      <w:r>
        <w:rPr>
          <w:rFonts w:hint="eastAsia" w:ascii="宋体" w:hAnsi="宋体" w:eastAsia="宋体" w:cs="宋体"/>
          <w:b/>
          <w:bCs/>
          <w:i/>
          <w:iCs/>
          <w:sz w:val="21"/>
          <w:szCs w:val="21"/>
        </w:rPr>
        <w:t>Part of the speech at the second full assembly of the Second Plenary Session of the 18th CPC Central Committee on February 28, 2013</w:t>
      </w:r>
    </w:p>
    <w:p w14:paraId="7060123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p>
    <w:p w14:paraId="032BE0B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Editor’s Note:</w:t>
      </w:r>
    </w:p>
    <w:p w14:paraId="663FB9F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Since the publication of the first volume of</w:t>
      </w:r>
      <w:r>
        <w:rPr>
          <w:rFonts w:hint="eastAsia" w:ascii="宋体" w:hAnsi="宋体" w:eastAsia="宋体" w:cs="宋体"/>
          <w:b/>
          <w:bCs/>
          <w:i/>
          <w:iCs/>
          <w:sz w:val="21"/>
          <w:szCs w:val="21"/>
        </w:rPr>
        <w:t xml:space="preserve"> Xi Jinping: The Governance of China</w:t>
      </w:r>
      <w:r>
        <w:rPr>
          <w:rFonts w:hint="eastAsia" w:ascii="宋体" w:hAnsi="宋体" w:eastAsia="宋体" w:cs="宋体"/>
          <w:b/>
          <w:bCs/>
          <w:sz w:val="21"/>
          <w:szCs w:val="21"/>
        </w:rPr>
        <w:t xml:space="preserve"> in 2014, the book has garnered widespread recognition globally, becoming a key resource for political figures, scholars, and experts in many countries. It stands as the leader’s work with the most published languages, the widest coverage, and the greatest global influence, opening a “window of thought” for understanding China in the new era.</w:t>
      </w:r>
    </w:p>
    <w:p w14:paraId="0075AB1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To offer global audiences deeper insights into </w:t>
      </w:r>
      <w:r>
        <w:rPr>
          <w:rFonts w:hint="eastAsia" w:ascii="宋体" w:hAnsi="宋体" w:eastAsia="宋体" w:cs="宋体"/>
          <w:b/>
          <w:bCs/>
          <w:i/>
          <w:iCs/>
          <w:sz w:val="21"/>
          <w:szCs w:val="21"/>
        </w:rPr>
        <w:t>Xi Jinping: The Governance of China</w:t>
      </w:r>
      <w:r>
        <w:rPr>
          <w:rFonts w:hint="eastAsia" w:ascii="宋体" w:hAnsi="宋体" w:eastAsia="宋体" w:cs="宋体"/>
          <w:b/>
          <w:bCs/>
          <w:sz w:val="21"/>
          <w:szCs w:val="21"/>
        </w:rPr>
        <w:t xml:space="preserve"> and the key concepts it contains, including perspectives on development, civilization, security, human rights, ecology, international order, and global governance, the Global Times is launching the “Decoding the Book of </w:t>
      </w:r>
      <w:r>
        <w:rPr>
          <w:rFonts w:hint="eastAsia" w:ascii="宋体" w:hAnsi="宋体" w:eastAsia="宋体" w:cs="宋体"/>
          <w:b/>
          <w:bCs/>
          <w:i/>
          <w:iCs/>
          <w:sz w:val="21"/>
          <w:szCs w:val="21"/>
        </w:rPr>
        <w:t>Xi Jinping: The Governance of China</w:t>
      </w:r>
      <w:r>
        <w:rPr>
          <w:rFonts w:hint="eastAsia" w:ascii="宋体" w:hAnsi="宋体" w:eastAsia="宋体" w:cs="宋体"/>
          <w:b/>
          <w:bCs/>
          <w:sz w:val="21"/>
          <w:szCs w:val="21"/>
        </w:rPr>
        <w:t>” series. Through themed columns such as “Scholars’ Perspectives,” “Translators’ Voices,” “Practitioners’ Insights,” and “Readers’ Reflections,” this series will feature perspectives from Chinese and international scholars, translators of the work, practitioners of its concepts, and overseas readers. It aims to share what they have seen and understood about China’s philosophy, values, and wisdom through the book.</w:t>
      </w:r>
    </w:p>
    <w:p w14:paraId="05ED71F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This is the sixth installment of the series, focusing on how China employs development strategies and medium- to long-term planning to steer economic and social progress.</w:t>
      </w:r>
    </w:p>
    <w:p w14:paraId="092D759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p>
    <w:p w14:paraId="223F6FD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Scholars’ Perspectives</w:t>
      </w:r>
      <w:r>
        <w:rPr>
          <w:rFonts w:hint="eastAsia" w:ascii="华文中宋" w:hAnsi="华文中宋" w:eastAsia="华文中宋" w:cs="华文中宋"/>
          <w:b/>
          <w:bCs/>
          <w:sz w:val="28"/>
          <w:szCs w:val="28"/>
          <w:lang w:val="en-US" w:eastAsia="zh-CN"/>
        </w:rPr>
        <w:t xml:space="preserve">: </w:t>
      </w:r>
      <w:r>
        <w:rPr>
          <w:rFonts w:hint="eastAsia" w:ascii="华文中宋" w:hAnsi="华文中宋" w:eastAsia="华文中宋" w:cs="华文中宋"/>
          <w:b/>
          <w:bCs/>
          <w:sz w:val="28"/>
          <w:szCs w:val="28"/>
        </w:rPr>
        <w:t>Five-year plans important experience of CPC in governance: scholar who participated in formulating plans</w:t>
      </w:r>
    </w:p>
    <w:p w14:paraId="3352283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p>
    <w:p w14:paraId="58ECF5C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sz w:val="21"/>
          <w:szCs w:val="21"/>
        </w:rPr>
      </w:pPr>
      <w:bookmarkStart w:id="0" w:name="_GoBack"/>
      <w:r>
        <w:rPr>
          <w:rFonts w:hint="eastAsia" w:ascii="宋体" w:hAnsi="宋体" w:eastAsia="宋体" w:cs="宋体"/>
          <w:b/>
          <w:bCs/>
          <w:sz w:val="21"/>
          <w:szCs w:val="21"/>
        </w:rPr>
        <w:t>By Dong Yu</w:t>
      </w:r>
    </w:p>
    <w:bookmarkEnd w:id="0"/>
    <w:p w14:paraId="1BE37C9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p>
    <w:p w14:paraId="26DA117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Chinese President Xi Jinping, also general secretary of the CPC Central Committee and chairman of the Central Military Commission, places great importance on development strategies and planning. He has noted that the scientific formulation and consistent implementation of five-year plans stand as an important piece of experience in the CPC’s approach to governing the country. It’s also significantly representing the political advantage of socialism with Chinese characteristics.</w:t>
      </w:r>
    </w:p>
    <w:p w14:paraId="68A2FA7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While working at the local levels, Xi proposed several development strategies, including the 15-year development plan for Xiamen, the “3820” strategic project in Fuzhou, and the “Double-Eight” strategy in Zhejiang Province. </w:t>
      </w:r>
    </w:p>
    <w:p w14:paraId="700CE08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These strategies share a distinct feature – a strong emphasis on systematic medium- and long-term planning. Whether for a country or a local region, formulating a development blueprint is essential, which helps to clarify direction and outline a path forward. Years later, these regions are still developing in accordance with the strategic plans set out by Xi at the time, and tangible results continue to emerge. This demonstrates that the significance of these strategies goes beyond the specific regions where they were implemented and offers valuable insights for broader application.</w:t>
      </w:r>
    </w:p>
    <w:p w14:paraId="6C1A0D1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Xi demonstrated a deeply forward-looking mindset. The local strategies he led were featured by broader perspectives in identifying issues, more diverse approaches in analyzing challenges, and more systematic approaches to problem-solving. This strategic thinking has since been thoroughly validated in practice.</w:t>
      </w:r>
    </w:p>
    <w:p w14:paraId="53A08B3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Since the 18th CPC National Congress in 2012, General Secretary Xi has continued to uphold and apply this strategic thinking. The report to the 20th CPC National Congress explicitly identified seven key ways of thinking, with strategic thinking listed first, highlighting its fundamental importance. Whether in formulating five-year plans, guiding top-level design across various sectors, or advancing the overall process of Chinese modernization, strategic thinking plays a critical role. This once again demonstrates that strategic thinking is not only essential at the local level, but is also an indispensable capability for governing a country.</w:t>
      </w:r>
    </w:p>
    <w:p w14:paraId="44923A6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Xi has stressed “sound, democratic, and law-based decision-making” and emphasized the importance of “integrating top-level design with seeking advice from the public” in compilation of 15th Five-Year Plan (2026-30). These three are indeed very core decision-making principles in planning formulation. In terms of scientific decision-making, the solicitation of suggestions for this plan was launched earlier and has a longer cycle than in the past. In the drafting of the text, it is required that each measure and each goal must have solid basis and sufficient demonstration, and each indicator must also be supported by scientific calculation. At the same time, the different contents of the plan should also be logically tight and connected with each other to form a systematic whole.</w:t>
      </w:r>
    </w:p>
    <w:p w14:paraId="27D3E51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As for democratic decision-making, in addition to soliciting public opinions from the society, there are also standardized procedures for soliciting opinions within the Party. For instance, feedback is sought from relevant departments, senior officials, veteran Party members, and democratic parties. These processes are supported by institutional safeguards. </w:t>
      </w:r>
    </w:p>
    <w:p w14:paraId="5771325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Regarding law-based decision-making, an important backdrop this year is the legislation of the national development planning law. At present, the National People’s Congress has completed the first reading of the law, and many core principles of the law will be implemented in the planning formulation and implementation. The rule of law not only brings more standardized processes, but more importantly, ensures the authority of plans and their transmission mechanisms through legal means, enabling national development plans to be implemented in specific regional, special, and spatial plans through statutory procedures.</w:t>
      </w:r>
    </w:p>
    <w:p w14:paraId="0DBBC07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The central government attaches great importance to feedback from all sectors of society, classifying and analyzing the opinions collected, focusing on studying prominent and feasible issues, and trying to incorporate them into the planning as much as possible.</w:t>
      </w:r>
    </w:p>
    <w:p w14:paraId="7FAF5D5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From updates in concepts to institutional reforms, from top-level design to grassroots research, and from written blueprints to project implementation, the five-year plans in the new era are becoming important strategic tools to promote Chinese modernization. Through a decision-making system that integrates science, democracy, and the rule of law, the five-year plans not only set directions for economic and social development but also carry the far-reaching layout of China’s development. In this era of continuous advancement, every policy suggestion, every field study, and every project established is an indispensable part to the modernization of national governance.</w:t>
      </w:r>
    </w:p>
    <w:p w14:paraId="722EBF3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The author is executive vice dean of the China Institute for Development Planning at Tsinghua University</w:t>
      </w:r>
    </w:p>
    <w:p w14:paraId="3E0CC67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p>
    <w:p w14:paraId="0A0F750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Practitioners’ Insights</w:t>
      </w:r>
      <w:r>
        <w:rPr>
          <w:rFonts w:hint="eastAsia" w:ascii="华文中宋" w:hAnsi="华文中宋" w:eastAsia="华文中宋" w:cs="华文中宋"/>
          <w:b/>
          <w:bCs/>
          <w:sz w:val="28"/>
          <w:szCs w:val="28"/>
          <w:lang w:val="en-US" w:eastAsia="zh-CN"/>
        </w:rPr>
        <w:t xml:space="preserve">: </w:t>
      </w:r>
      <w:r>
        <w:rPr>
          <w:rFonts w:hint="eastAsia" w:ascii="华文中宋" w:hAnsi="华文中宋" w:eastAsia="华文中宋" w:cs="华文中宋"/>
          <w:b/>
          <w:bCs/>
          <w:sz w:val="28"/>
          <w:szCs w:val="28"/>
        </w:rPr>
        <w:t>Urban-rural bus Route 101 – a vivid practice of ‘following a good blueprint through to the end’</w:t>
      </w:r>
    </w:p>
    <w:p w14:paraId="3FAE778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p>
    <w:p w14:paraId="32959BA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By Huang Lanlan in Jiaxing and Lin Xiaoyi in Beijing</w:t>
      </w:r>
    </w:p>
    <w:p w14:paraId="7D48960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p>
    <w:p w14:paraId="184FD1A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In the early morning, the lights of the Daxin Road bus hub in downtown Jiaxing, East China’s Zhejiang Province, cut through the mist. The hub marks the starting point for the city’s urban-rural bus Route 101. At 6 am, with the sound of the departure bell, Shen Shuigen drives the Route 101 bus smoothly out of the station.</w:t>
      </w:r>
    </w:p>
    <w:p w14:paraId="538F08C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Known as the “first line of urban-rural transport in Jiaxing,” Route 101 is a model for the urban-rural public transport integration reform nationwide. In 2003, as secretary of the Communist Party of China Zhejiang Provincial Committee, Xi Jinping comprehensively and systematically articulated eight advantages of Zhejiang’s development based on years of experience, proposing eight forward-looking measures that would guide the province’s reform and the construction of a moderately prosperous society.</w:t>
      </w:r>
    </w:p>
    <w:p w14:paraId="090EE5B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Under the guidance of the “Double-Eight” strategy and the coordinated development of urban and rural areas, Jiaxing was among the first in the country to launch public transport integration, officially launching the Route 101 as a pilot route.</w:t>
      </w:r>
    </w:p>
    <w:p w14:paraId="04BD51A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In March 2004, Xi rode the Route 101 bus in Jiaxing, and emphasized that promoting urban-rural integration is a systematic endeavor that requires resource integration and refined planning.</w:t>
      </w:r>
    </w:p>
    <w:p w14:paraId="3BCDCAF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In the article “Follow a Good Blueprint” in the first volume of the book </w:t>
      </w:r>
      <w:r>
        <w:rPr>
          <w:rFonts w:hint="eastAsia" w:ascii="宋体" w:hAnsi="宋体" w:eastAsia="宋体" w:cs="宋体"/>
          <w:b/>
          <w:bCs/>
          <w:i/>
          <w:iCs/>
          <w:sz w:val="21"/>
          <w:szCs w:val="21"/>
        </w:rPr>
        <w:t>Xi Jinping: The Governance of China</w:t>
      </w:r>
      <w:r>
        <w:rPr>
          <w:rFonts w:hint="eastAsia" w:ascii="宋体" w:hAnsi="宋体" w:eastAsia="宋体" w:cs="宋体"/>
          <w:b/>
          <w:bCs/>
          <w:sz w:val="21"/>
          <w:szCs w:val="21"/>
        </w:rPr>
        <w:t xml:space="preserve">, Xi notes that “if a blueprint is good, factually based, scientifically sound and well-received by the people, we should keep working on it, one administration after another.” </w:t>
      </w:r>
    </w:p>
    <w:p w14:paraId="54CAF35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Over the years, inspired by this strategic thinking of “following a good blueprint through to the end and making it a success,” the national urban-rural public transport network has continuously expanded, with stations becoming denser and bus facilities improving.</w:t>
      </w:r>
    </w:p>
    <w:p w14:paraId="5F318E0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From the winding mountains of Kaili in Southwest China’s Guizhou Province, to the vast Gobi in Kashi, Northwest China’s Xinjiang Uygur Autonomous Region, to the lush vegetable gardens of Jishou in Central China’s Hunan Province ... buses weaving between urban and rural areas have connected remote corners of the country, painting a vivid picture of people’s improved livelihoods.</w:t>
      </w:r>
    </w:p>
    <w:p w14:paraId="10947C1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As of now, Jiaxing has launched a total of 394 urban-rural bus routes, with 1,583 vehicles in operation, achieving full coverage of urban-rural public transport across all 62 towns and 740 administrative villages, benefiting 5.608 million urban and rural residents, the Global Times has learned from local government.</w:t>
      </w:r>
    </w:p>
    <w:p w14:paraId="34FCB0F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“Look, the road, the bus and our life, everything is achieved through continuous efforts,” Shen told the Global Times, pointing to the front of a Route 101 bus, where the words “Bound for happiness” were emblazoned. “With good planning, and a ‘nail spirit,’ isn’t life becoming broader and brighter for the people, just like these roads connecting city and countryside?”</w:t>
      </w:r>
    </w:p>
    <w:p w14:paraId="1E0DE3E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p>
    <w:p w14:paraId="3030552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Translators’ Voices</w:t>
      </w:r>
      <w:r>
        <w:rPr>
          <w:rFonts w:hint="eastAsia" w:ascii="华文中宋" w:hAnsi="华文中宋" w:eastAsia="华文中宋" w:cs="华文中宋"/>
          <w:b/>
          <w:bCs/>
          <w:sz w:val="28"/>
          <w:szCs w:val="28"/>
          <w:lang w:val="en-US" w:eastAsia="zh-CN"/>
        </w:rPr>
        <w:t xml:space="preserve">: </w:t>
      </w:r>
      <w:r>
        <w:rPr>
          <w:rFonts w:hint="eastAsia" w:ascii="华文中宋" w:hAnsi="华文中宋" w:eastAsia="华文中宋" w:cs="华文中宋"/>
          <w:b/>
          <w:bCs/>
          <w:sz w:val="28"/>
          <w:szCs w:val="28"/>
        </w:rPr>
        <w:t>The culture of planning is rooted in China’s DNA: Brazilian translator</w:t>
      </w:r>
    </w:p>
    <w:p w14:paraId="020ABCF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rPr>
      </w:pPr>
    </w:p>
    <w:p w14:paraId="164136C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i/>
          <w:iCs/>
          <w:sz w:val="21"/>
          <w:szCs w:val="21"/>
        </w:rPr>
      </w:pPr>
      <w:r>
        <w:rPr>
          <w:rFonts w:hint="eastAsia" w:ascii="宋体" w:hAnsi="宋体" w:eastAsia="宋体" w:cs="宋体"/>
          <w:b/>
          <w:bCs/>
          <w:sz w:val="21"/>
          <w:szCs w:val="21"/>
        </w:rPr>
        <w:t xml:space="preserve">José Medeiros da Silva, a Brazilian professor at Zhejiang International Studies University, a member of the translation team of the Portuguese editions of </w:t>
      </w:r>
      <w:r>
        <w:rPr>
          <w:rFonts w:hint="eastAsia" w:ascii="宋体" w:hAnsi="宋体" w:eastAsia="宋体" w:cs="宋体"/>
          <w:b/>
          <w:bCs/>
          <w:i/>
          <w:iCs/>
          <w:sz w:val="21"/>
          <w:szCs w:val="21"/>
        </w:rPr>
        <w:t>Xi Jinping: The Governance of China</w:t>
      </w:r>
    </w:p>
    <w:p w14:paraId="7051CED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i/>
          <w:iCs/>
          <w:sz w:val="21"/>
          <w:szCs w:val="21"/>
        </w:rPr>
      </w:pPr>
    </w:p>
    <w:p w14:paraId="1939728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“Following a good blueprint” involves taking a strategic and integrated approach to achieve consistent and cumulative results at each stage of the work. For the Party, scientific planning is an irreplaceable key tool. From this perspective, a “good blueprint” must necessarily have a sound purpose and be backed by robust scientific analysis. According to Xi’s philosophy, people’s satisfaction is also an essential criterion for evaluating the effectiveness of each plan.</w:t>
      </w:r>
    </w:p>
    <w:p w14:paraId="3DCD02C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As we know, China has regularly prepared its five-year plans since 1953. This long-term practice has undoubtedly led to a significant accumulation of fundamental experience in the continuous improvement of the mechanism itself. Culture of planning has been rooted in China’s DNA and has been crucial in developing leaders who are in tune with the demands of the times.</w:t>
      </w:r>
    </w:p>
    <w:p w14:paraId="6540409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I remember very well having a rich conversation with my Chinese friend, who was translating Volume I of Xi’s book into Portuguese, about the expression of the “nail spirit.” I believe it reflects an approach to governance that presupposes ideological conviction, determination, dedication, persistence, constancy, acuity and knowledge. </w:t>
      </w:r>
    </w:p>
    <w:p w14:paraId="6C6EA31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In practice, it reflects a work ethic, the ability to achieve goals, a sense of responsibility, technical and scientific expertise, an overall vision and a commitment to the country and its people. This set of values is clearly essential for successful governance and for the country to advance in its modernization process.</w:t>
      </w:r>
    </w:p>
    <w:p w14:paraId="1A3AE7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calaOT-Regular">
    <w:panose1 w:val="02010504040101020104"/>
    <w:charset w:val="00"/>
    <w:family w:val="auto"/>
    <w:pitch w:val="default"/>
    <w:sig w:usb0="800000AF" w:usb1="4000E05B" w:usb2="00000000" w:usb3="00000000" w:csb0="20000001" w:csb1="00000000"/>
  </w:font>
  <w:font w:name="Times">
    <w:panose1 w:val="00000000000000000000"/>
    <w:charset w:val="00"/>
    <w:family w:val="auto"/>
    <w:pitch w:val="default"/>
    <w:sig w:usb0="E00002FF" w:usb1="5000205A" w:usb2="00000000" w:usb3="00000000" w:csb0="2000019F" w:csb1="00000000"/>
  </w:font>
  <w:font w:name="ScalaSansOT-Light">
    <w:panose1 w:val="02010504040101020104"/>
    <w:charset w:val="00"/>
    <w:family w:val="auto"/>
    <w:pitch w:val="default"/>
    <w:sig w:usb0="800000AF" w:usb1="4000E04A" w:usb2="00000000" w:usb3="00000000" w:csb0="20000001" w:csb1="00000000"/>
  </w:font>
  <w:font w:name="ScalaSansOT-Bold">
    <w:panose1 w:val="02010804040101020104"/>
    <w:charset w:val="00"/>
    <w:family w:val="auto"/>
    <w:pitch w:val="default"/>
    <w:sig w:usb0="800000AF" w:usb1="4000E04A" w:usb2="00000000" w:usb3="00000000" w:csb0="20000001" w:csb1="00000000"/>
  </w:font>
  <w:font w:name="ScalaSansOT-Black">
    <w:panose1 w:val="02010A04060101020104"/>
    <w:charset w:val="00"/>
    <w:family w:val="auto"/>
    <w:pitch w:val="default"/>
    <w:sig w:usb0="800000AF" w:usb1="4000E04A" w:usb2="00000000" w:usb3="00000000" w:csb0="20000001" w:csb1="00000000"/>
  </w:font>
  <w:font w:name="ScalaSansOT-Regular">
    <w:panose1 w:val="02010504040101020104"/>
    <w:charset w:val="00"/>
    <w:family w:val="auto"/>
    <w:pitch w:val="default"/>
    <w:sig w:usb0="800000AF" w:usb1="4000E04A" w:usb2="00000000" w:usb3="00000000" w:csb0="20000001" w:csb1="00000000"/>
  </w:font>
  <w:font w:name="ScalaOT-Bold">
    <w:panose1 w:val="02010804050101020104"/>
    <w:charset w:val="00"/>
    <w:family w:val="auto"/>
    <w:pitch w:val="default"/>
    <w:sig w:usb0="800000AF" w:usb1="4000E05B" w:usb2="00000000" w:usb3="00000000" w:csb0="2000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2912C9"/>
    <w:rsid w:val="00472386"/>
    <w:rsid w:val="00575C4B"/>
    <w:rsid w:val="00916E2B"/>
    <w:rsid w:val="00A12856"/>
    <w:rsid w:val="00C17BA0"/>
    <w:rsid w:val="00E562A9"/>
    <w:rsid w:val="00EE467A"/>
    <w:rsid w:val="02603EC3"/>
    <w:rsid w:val="06623ECF"/>
    <w:rsid w:val="06926080"/>
    <w:rsid w:val="07B90CB8"/>
    <w:rsid w:val="08E17105"/>
    <w:rsid w:val="0CB944CF"/>
    <w:rsid w:val="0EDC703A"/>
    <w:rsid w:val="10251C90"/>
    <w:rsid w:val="14AD16A6"/>
    <w:rsid w:val="1509028A"/>
    <w:rsid w:val="166B5873"/>
    <w:rsid w:val="16E318AE"/>
    <w:rsid w:val="1E91493B"/>
    <w:rsid w:val="1F8B3820"/>
    <w:rsid w:val="216E7FC6"/>
    <w:rsid w:val="22C87F8C"/>
    <w:rsid w:val="22DF6647"/>
    <w:rsid w:val="2342795C"/>
    <w:rsid w:val="24CF6FCD"/>
    <w:rsid w:val="27FFDE76"/>
    <w:rsid w:val="282E3C6D"/>
    <w:rsid w:val="29A0362E"/>
    <w:rsid w:val="2A3E70CF"/>
    <w:rsid w:val="2DCC49F2"/>
    <w:rsid w:val="2DD6128D"/>
    <w:rsid w:val="2FAF7AD9"/>
    <w:rsid w:val="3A836438"/>
    <w:rsid w:val="3CD964BC"/>
    <w:rsid w:val="3ED100BA"/>
    <w:rsid w:val="41B45A71"/>
    <w:rsid w:val="439D5979"/>
    <w:rsid w:val="45F4013C"/>
    <w:rsid w:val="4954425A"/>
    <w:rsid w:val="4A3B6D2F"/>
    <w:rsid w:val="4C914A2C"/>
    <w:rsid w:val="4CD56315"/>
    <w:rsid w:val="4D64659D"/>
    <w:rsid w:val="4EF87893"/>
    <w:rsid w:val="50577CF3"/>
    <w:rsid w:val="51DC2BA6"/>
    <w:rsid w:val="53004EBF"/>
    <w:rsid w:val="536F6EE4"/>
    <w:rsid w:val="54113878"/>
    <w:rsid w:val="54996232"/>
    <w:rsid w:val="54AA5ACD"/>
    <w:rsid w:val="55284354"/>
    <w:rsid w:val="59F7BF93"/>
    <w:rsid w:val="5A61633E"/>
    <w:rsid w:val="5A623E64"/>
    <w:rsid w:val="5B8B4C36"/>
    <w:rsid w:val="64D67929"/>
    <w:rsid w:val="678E44EB"/>
    <w:rsid w:val="698E79C0"/>
    <w:rsid w:val="6B32F89E"/>
    <w:rsid w:val="6C23219D"/>
    <w:rsid w:val="6C755C79"/>
    <w:rsid w:val="6DC47CB2"/>
    <w:rsid w:val="71AB677C"/>
    <w:rsid w:val="72516841"/>
    <w:rsid w:val="72D07765"/>
    <w:rsid w:val="74AC23FC"/>
    <w:rsid w:val="75EB61F0"/>
    <w:rsid w:val="76283D5C"/>
    <w:rsid w:val="7DF81DAA"/>
    <w:rsid w:val="F6FFD1BC"/>
    <w:rsid w:val="F7DFB32F"/>
    <w:rsid w:val="FFFE1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4"/>
    <w:unhideWhenUsed/>
    <w:qFormat/>
    <w:uiPriority w:val="99"/>
    <w:pPr>
      <w:spacing w:beforeLines="0" w:afterLines="0" w:line="200" w:lineRule="atLeast"/>
      <w:ind w:firstLine="227"/>
    </w:pPr>
    <w:rPr>
      <w:rFonts w:hint="default" w:ascii="ScalaOT-Regular" w:hAnsi="ScalaOT-Regular" w:eastAsia="ScalaOT-Regular"/>
      <w:spacing w:val="-2"/>
      <w:sz w:val="19"/>
      <w:szCs w:val="24"/>
      <w:lang w:val="en-US"/>
    </w:rPr>
  </w:style>
  <w:style w:type="paragraph" w:customStyle="1" w:styleId="4">
    <w:name w:val="[无段落样式]"/>
    <w:unhideWhenUsed/>
    <w:qFormat/>
    <w:uiPriority w:val="99"/>
    <w:pPr>
      <w:widowControl w:val="0"/>
      <w:autoSpaceDE w:val="0"/>
      <w:autoSpaceDN w:val="0"/>
      <w:adjustRightInd w:val="0"/>
      <w:spacing w:beforeLines="0" w:afterLines="0" w:line="288" w:lineRule="auto"/>
      <w:textAlignment w:val="center"/>
    </w:pPr>
    <w:rPr>
      <w:rFonts w:hint="default" w:ascii="Times" w:hAnsi="Times" w:eastAsia="Times" w:cs="Times New Roman"/>
      <w:color w:val="000000"/>
      <w:sz w:val="24"/>
      <w:szCs w:val="24"/>
      <w:lang w:val="en-GB"/>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tabs>
        <w:tab w:val="center" w:pos="4153"/>
        <w:tab w:val="right" w:pos="8306"/>
      </w:tabs>
      <w:snapToGrid w:val="0"/>
      <w:jc w:val="center"/>
    </w:pPr>
    <w:rPr>
      <w:sz w:val="18"/>
      <w:szCs w:val="18"/>
    </w:rPr>
  </w:style>
  <w:style w:type="paragraph" w:styleId="7">
    <w:name w:val="Body Text 2"/>
    <w:basedOn w:val="3"/>
    <w:unhideWhenUsed/>
    <w:qFormat/>
    <w:uiPriority w:val="99"/>
    <w:pPr>
      <w:spacing w:beforeLines="0" w:afterLines="0"/>
    </w:pPr>
    <w:rPr>
      <w:rFonts w:hint="default" w:ascii="ScalaSansOT-Light" w:hAnsi="ScalaSansOT-Light" w:eastAsia="ScalaSansOT-Light"/>
      <w:spacing w:val="-4"/>
      <w:sz w:val="18"/>
      <w:szCs w:val="24"/>
    </w:rPr>
  </w:style>
  <w:style w:type="paragraph" w:styleId="8">
    <w:name w:val="Normal (Web)"/>
    <w:basedOn w:val="1"/>
    <w:qFormat/>
    <w:uiPriority w:val="0"/>
    <w:pPr>
      <w:spacing w:beforeAutospacing="1" w:afterAutospacing="1"/>
      <w:jc w:val="left"/>
    </w:pPr>
    <w:rPr>
      <w:rFonts w:cs="Times New Roman"/>
      <w:kern w:val="0"/>
      <w:sz w:val="24"/>
    </w:rPr>
  </w:style>
  <w:style w:type="character" w:styleId="11">
    <w:name w:val="Strong"/>
    <w:basedOn w:val="10"/>
    <w:qFormat/>
    <w:uiPriority w:val="0"/>
    <w:rPr>
      <w:b/>
    </w:rPr>
  </w:style>
  <w:style w:type="character" w:styleId="12">
    <w:name w:val="Emphasis"/>
    <w:basedOn w:val="10"/>
    <w:qFormat/>
    <w:uiPriority w:val="0"/>
    <w:rPr>
      <w:i/>
    </w:rPr>
  </w:style>
  <w:style w:type="character" w:customStyle="1" w:styleId="13">
    <w:name w:val="页眉 字符"/>
    <w:basedOn w:val="10"/>
    <w:link w:val="6"/>
    <w:qFormat/>
    <w:uiPriority w:val="0"/>
    <w:rPr>
      <w:rFonts w:asciiTheme="minorHAnsi" w:hAnsiTheme="minorHAnsi" w:eastAsiaTheme="minorEastAsia" w:cstheme="minorBidi"/>
      <w:kern w:val="2"/>
      <w:sz w:val="18"/>
      <w:szCs w:val="18"/>
    </w:rPr>
  </w:style>
  <w:style w:type="character" w:customStyle="1" w:styleId="14">
    <w:name w:val="页脚 字符"/>
    <w:basedOn w:val="10"/>
    <w:link w:val="5"/>
    <w:qFormat/>
    <w:uiPriority w:val="0"/>
    <w:rPr>
      <w:rFonts w:asciiTheme="minorHAnsi" w:hAnsiTheme="minorHAnsi" w:eastAsiaTheme="minorEastAsia" w:cstheme="minorBidi"/>
      <w:kern w:val="2"/>
      <w:sz w:val="18"/>
      <w:szCs w:val="18"/>
    </w:rPr>
  </w:style>
  <w:style w:type="paragraph" w:customStyle="1" w:styleId="15">
    <w:name w:val="Headline 80"/>
    <w:basedOn w:val="4"/>
    <w:unhideWhenUsed/>
    <w:qFormat/>
    <w:uiPriority w:val="99"/>
    <w:pPr>
      <w:suppressAutoHyphens/>
      <w:spacing w:beforeLines="0" w:afterLines="0" w:line="1600" w:lineRule="atLeast"/>
    </w:pPr>
    <w:rPr>
      <w:rFonts w:hint="default" w:ascii="ScalaOT-Regular" w:hAnsi="ScalaOT-Regular" w:eastAsia="ScalaOT-Regular"/>
      <w:spacing w:val="-40"/>
      <w:sz w:val="160"/>
      <w:szCs w:val="24"/>
      <w:lang w:val="en-US"/>
    </w:rPr>
  </w:style>
  <w:style w:type="paragraph" w:customStyle="1" w:styleId="16">
    <w:name w:val="Highlight"/>
    <w:basedOn w:val="3"/>
    <w:unhideWhenUsed/>
    <w:qFormat/>
    <w:uiPriority w:val="99"/>
    <w:pPr>
      <w:spacing w:beforeLines="0" w:afterLines="0" w:line="300" w:lineRule="atLeast"/>
      <w:ind w:left="170" w:right="170" w:firstLine="0"/>
    </w:pPr>
    <w:rPr>
      <w:rFonts w:hint="default" w:ascii="ScalaSansOT-Bold" w:hAnsi="ScalaSansOT-Bold" w:eastAsia="ScalaSansOT-Bold"/>
      <w:b/>
      <w:color w:val="FFFFFF"/>
      <w:sz w:val="24"/>
      <w:szCs w:val="24"/>
    </w:rPr>
  </w:style>
  <w:style w:type="paragraph" w:customStyle="1" w:styleId="17">
    <w:name w:val="Attributes"/>
    <w:basedOn w:val="4"/>
    <w:next w:val="18"/>
    <w:unhideWhenUsed/>
    <w:qFormat/>
    <w:uiPriority w:val="99"/>
    <w:pPr>
      <w:pBdr>
        <w:top w:val="single" w:color="FFE565" w:sz="2" w:space="20"/>
      </w:pBdr>
      <w:suppressAutoHyphens/>
      <w:spacing w:before="283" w:beforeLines="0" w:afterLines="0"/>
    </w:pPr>
    <w:rPr>
      <w:rFonts w:hint="default" w:ascii="ScalaSansOT-Black" w:hAnsi="ScalaSansOT-Black" w:eastAsia="ScalaSansOT-Black"/>
      <w:color w:val="FFE565"/>
      <w:sz w:val="20"/>
      <w:szCs w:val="24"/>
      <w:lang w:val="en-US"/>
    </w:rPr>
  </w:style>
  <w:style w:type="paragraph" w:customStyle="1" w:styleId="18">
    <w:name w:val="Attributes title"/>
    <w:basedOn w:val="19"/>
    <w:next w:val="4"/>
    <w:unhideWhenUsed/>
    <w:qFormat/>
    <w:uiPriority w:val="99"/>
    <w:pPr>
      <w:spacing w:beforeLines="0" w:afterLines="0"/>
    </w:pPr>
    <w:rPr>
      <w:rFonts w:hint="default" w:ascii="ScalaSansOT-Regular" w:hAnsi="ScalaSansOT-Regular" w:eastAsia="ScalaSansOT-Regular"/>
      <w:color w:val="000000"/>
      <w:sz w:val="16"/>
      <w:szCs w:val="24"/>
    </w:rPr>
  </w:style>
  <w:style w:type="paragraph" w:customStyle="1" w:styleId="19">
    <w:name w:val="Liftout"/>
    <w:basedOn w:val="4"/>
    <w:next w:val="17"/>
    <w:unhideWhenUsed/>
    <w:qFormat/>
    <w:uiPriority w:val="99"/>
    <w:pPr>
      <w:suppressAutoHyphens/>
      <w:spacing w:beforeLines="0" w:afterLines="0"/>
    </w:pPr>
    <w:rPr>
      <w:rFonts w:hint="default" w:ascii="ScalaOT-Regular" w:hAnsi="ScalaOT-Regular" w:eastAsia="ScalaOT-Regular"/>
      <w:color w:val="FFE565"/>
      <w:sz w:val="30"/>
      <w:szCs w:val="24"/>
      <w:lang w:val="en-US"/>
    </w:rPr>
  </w:style>
  <w:style w:type="paragraph" w:customStyle="1" w:styleId="20">
    <w:name w:val="段落样式1"/>
    <w:basedOn w:val="17"/>
    <w:unhideWhenUsed/>
    <w:qFormat/>
    <w:uiPriority w:val="99"/>
    <w:pPr>
      <w:pBdr>
        <w:top w:val="single" w:color="000000" w:sz="2" w:space="20"/>
      </w:pBdr>
      <w:spacing w:beforeLines="0" w:afterLines="0" w:line="300" w:lineRule="atLeast"/>
    </w:pPr>
    <w:rPr>
      <w:rFonts w:hint="default"/>
      <w:color w:val="F70000"/>
      <w:sz w:val="36"/>
      <w:szCs w:val="24"/>
    </w:rPr>
  </w:style>
  <w:style w:type="paragraph" w:customStyle="1" w:styleId="21">
    <w:name w:val="Body text2 1st para"/>
    <w:basedOn w:val="3"/>
    <w:unhideWhenUsed/>
    <w:qFormat/>
    <w:uiPriority w:val="99"/>
    <w:pPr>
      <w:spacing w:beforeLines="0" w:afterLines="0"/>
      <w:ind w:firstLine="0"/>
    </w:pPr>
    <w:rPr>
      <w:rFonts w:hint="default" w:ascii="ScalaSansOT-Light" w:hAnsi="ScalaSansOT-Light" w:eastAsia="ScalaSansOT-Light"/>
      <w:spacing w:val="-4"/>
      <w:sz w:val="18"/>
      <w:szCs w:val="24"/>
    </w:rPr>
  </w:style>
  <w:style w:type="paragraph" w:customStyle="1" w:styleId="22">
    <w:name w:val="Body text 2 rugged"/>
    <w:basedOn w:val="7"/>
    <w:unhideWhenUsed/>
    <w:qFormat/>
    <w:uiPriority w:val="99"/>
    <w:pPr>
      <w:spacing w:beforeLines="0" w:afterLines="0"/>
    </w:pPr>
    <w:rPr>
      <w:rFonts w:hint="default"/>
      <w:sz w:val="18"/>
      <w:szCs w:val="24"/>
    </w:rPr>
  </w:style>
  <w:style w:type="paragraph" w:customStyle="1" w:styleId="23">
    <w:name w:val="Headline 44"/>
    <w:basedOn w:val="15"/>
    <w:unhideWhenUsed/>
    <w:qFormat/>
    <w:uiPriority w:val="99"/>
    <w:pPr>
      <w:spacing w:beforeLines="0" w:afterLines="0" w:line="880" w:lineRule="atLeast"/>
    </w:pPr>
    <w:rPr>
      <w:rFonts w:hint="default"/>
      <w:spacing w:val="-22"/>
      <w:sz w:val="88"/>
      <w:szCs w:val="24"/>
    </w:rPr>
  </w:style>
  <w:style w:type="paragraph" w:customStyle="1" w:styleId="24">
    <w:name w:val="Headline 24"/>
    <w:basedOn w:val="23"/>
    <w:unhideWhenUsed/>
    <w:qFormat/>
    <w:uiPriority w:val="99"/>
    <w:pPr>
      <w:spacing w:beforeLines="0" w:afterLines="0" w:line="480" w:lineRule="atLeast"/>
    </w:pPr>
    <w:rPr>
      <w:rFonts w:hint="default"/>
      <w:spacing w:val="-12"/>
      <w:sz w:val="48"/>
      <w:szCs w:val="24"/>
    </w:rPr>
  </w:style>
  <w:style w:type="paragraph" w:customStyle="1" w:styleId="25">
    <w:name w:val="Subhead"/>
    <w:basedOn w:val="3"/>
    <w:unhideWhenUsed/>
    <w:qFormat/>
    <w:uiPriority w:val="99"/>
    <w:pPr>
      <w:suppressAutoHyphens/>
      <w:spacing w:before="57" w:beforeLines="0" w:afterLines="0"/>
      <w:ind w:firstLine="0"/>
    </w:pPr>
    <w:rPr>
      <w:rFonts w:hint="default" w:ascii="ScalaSansOT-Black" w:hAnsi="ScalaSansOT-Black" w:eastAsia="ScalaSansOT-Black"/>
      <w:color w:val="8C0026"/>
      <w:sz w:val="19"/>
      <w:szCs w:val="24"/>
    </w:rPr>
  </w:style>
  <w:style w:type="paragraph" w:customStyle="1" w:styleId="26">
    <w:name w:val="Body text rugged 1st para"/>
    <w:basedOn w:val="4"/>
    <w:unhideWhenUsed/>
    <w:qFormat/>
    <w:uiPriority w:val="99"/>
    <w:pPr>
      <w:spacing w:beforeLines="0" w:afterLines="0" w:line="200" w:lineRule="atLeast"/>
    </w:pPr>
    <w:rPr>
      <w:rFonts w:hint="default" w:ascii="ScalaOT-Regular" w:hAnsi="ScalaOT-Regular" w:eastAsia="ScalaOT-Regular"/>
      <w:spacing w:val="-2"/>
      <w:sz w:val="19"/>
      <w:szCs w:val="24"/>
      <w:lang w:val="en-US"/>
    </w:rPr>
  </w:style>
  <w:style w:type="paragraph" w:customStyle="1" w:styleId="27">
    <w:name w:val="Byline"/>
    <w:basedOn w:val="3"/>
    <w:unhideWhenUsed/>
    <w:qFormat/>
    <w:uiPriority w:val="99"/>
    <w:pPr>
      <w:pBdr>
        <w:bottom w:val="single" w:color="auto" w:sz="2" w:space="10"/>
      </w:pBdr>
      <w:spacing w:beforeLines="0" w:afterLines="0"/>
      <w:ind w:firstLine="0"/>
    </w:pPr>
    <w:rPr>
      <w:rFonts w:hint="default" w:ascii="ScalaSansOT-Black" w:hAnsi="ScalaSansOT-Black" w:eastAsia="ScalaSansOT-Black"/>
      <w:position w:val="-8"/>
      <w:sz w:val="19"/>
      <w:szCs w:val="24"/>
    </w:rPr>
  </w:style>
  <w:style w:type="paragraph" w:customStyle="1" w:styleId="28">
    <w:name w:val="Drop letter rugged"/>
    <w:basedOn w:val="3"/>
    <w:unhideWhenUsed/>
    <w:qFormat/>
    <w:uiPriority w:val="99"/>
    <w:pPr>
      <w:spacing w:beforeLines="0" w:afterLines="0"/>
      <w:ind w:firstLine="0"/>
    </w:pPr>
    <w:rPr>
      <w:rFonts w:hint="default"/>
      <w:sz w:val="19"/>
      <w:szCs w:val="24"/>
    </w:rPr>
  </w:style>
  <w:style w:type="paragraph" w:customStyle="1" w:styleId="29">
    <w:name w:val="Body text rugged"/>
    <w:basedOn w:val="4"/>
    <w:unhideWhenUsed/>
    <w:qFormat/>
    <w:uiPriority w:val="99"/>
    <w:pPr>
      <w:spacing w:beforeLines="0" w:afterLines="0" w:line="200" w:lineRule="atLeast"/>
      <w:ind w:firstLine="227"/>
    </w:pPr>
    <w:rPr>
      <w:rFonts w:hint="default" w:ascii="ScalaOT-Regular" w:hAnsi="ScalaOT-Regular" w:eastAsia="ScalaOT-Regular"/>
      <w:spacing w:val="-2"/>
      <w:sz w:val="19"/>
      <w:szCs w:val="24"/>
      <w:lang w:val="en-US"/>
    </w:rPr>
  </w:style>
  <w:style w:type="paragraph" w:customStyle="1" w:styleId="30">
    <w:name w:val="Tagline"/>
    <w:basedOn w:val="3"/>
    <w:unhideWhenUsed/>
    <w:qFormat/>
    <w:uiPriority w:val="99"/>
    <w:pPr>
      <w:pBdr>
        <w:top w:val="single" w:color="auto" w:sz="8" w:space="11"/>
      </w:pBdr>
      <w:suppressAutoHyphens/>
      <w:spacing w:before="57" w:beforeLines="0" w:afterLines="0"/>
      <w:ind w:firstLine="0"/>
    </w:pPr>
    <w:rPr>
      <w:rFonts w:hint="default" w:ascii="ScalaSansOT-Light" w:hAnsi="ScalaSansOT-Light" w:eastAsia="ScalaSansOT-Light"/>
      <w:sz w:val="18"/>
      <w:szCs w:val="24"/>
    </w:rPr>
  </w:style>
  <w:style w:type="paragraph" w:customStyle="1" w:styleId="31">
    <w:name w:val="Q"/>
    <w:basedOn w:val="4"/>
    <w:unhideWhenUsed/>
    <w:qFormat/>
    <w:uiPriority w:val="99"/>
    <w:pPr>
      <w:suppressAutoHyphens/>
      <w:spacing w:beforeLines="0" w:afterLines="0" w:line="200" w:lineRule="atLeast"/>
    </w:pPr>
    <w:rPr>
      <w:rFonts w:hint="default" w:ascii="ScalaOT-Bold" w:hAnsi="ScalaOT-Bold" w:eastAsia="ScalaOT-Bold"/>
      <w:b/>
      <w:color w:val="8C0026"/>
      <w:spacing w:val="-2"/>
      <w:w w:val="102"/>
      <w:sz w:val="18"/>
      <w:szCs w:val="24"/>
      <w:lang w:val="en-US"/>
    </w:rPr>
  </w:style>
  <w:style w:type="character" w:customStyle="1" w:styleId="32">
    <w:name w:val="Q&amp;A"/>
    <w:unhideWhenUsed/>
    <w:qFormat/>
    <w:uiPriority w:val="99"/>
    <w:rPr>
      <w:rFonts w:hint="default" w:ascii="ScalaSansOT-Black" w:hAnsi="ScalaSansOT-Black" w:eastAsia="ScalaSansOT-Black"/>
      <w:sz w:val="19"/>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1876</Words>
  <Characters>10086</Characters>
  <Lines>18</Lines>
  <Paragraphs>5</Paragraphs>
  <TotalTime>3</TotalTime>
  <ScaleCrop>false</ScaleCrop>
  <LinksUpToDate>false</LinksUpToDate>
  <CharactersWithSpaces>11831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2025-04-14T07:48:00Z</dcterms:created>
  <dc:creator>【冷舒眉】</dc:creator>
  <cp:lastModifiedBy>办公的芦瑚</cp:lastModifiedBy>
  <dcterms:modified xsi:type="dcterms:W3CDTF">2026-05-12T05:36:12Z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7A1802ABEA484BDEA1919487C0CE5AA0_13</vt:lpwstr>
  </property>
  <property fmtid="{D5CDD505-2E9C-101B-9397-08002B2CF9AE}" pid="4" name="KSOTemplateDocerSaveRecord">
    <vt:lpwstr>eyJoZGlkIjoiODk3MjcwZjY4YmQ2OGU0Zjc5ZDBkZmRhNzNiNTJhM2MiLCJ1c2VySWQiOiIzMTA1ODQzODIifQ==</vt:lpwstr>
  </property>
</Properties>
</file>